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(неквартирного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д) любое другое помещение, приспособленное для жилья (вагончик, бытовка, хозблок, баржа и т.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t>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t>на отдых, для лечения, в гости к родственникам или знакомым, а также транзитные мигранты.</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текст бланков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Только первые три вопроса формы Л и первый вопрос формы П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
    <w:p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этно-лингвистические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группиро</w:t>
      </w:r>
      <w:r w:rsidRPr="00F65EE1">
        <w:rPr>
          <w:rFonts w:ascii="Times New Roman" w:hAnsi="Times New Roman" w:cs="Times New Roman"/>
          <w:sz w:val="28"/>
          <w:szCs w:val="28"/>
        </w:rPr>
        <w:t>вочной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
    <w:p w:rsidR="00B80C47" w:rsidRDefault="00F65EE1" w:rsidP="00F65EE1">
      <w:pPr>
        <w:ind w:firstLine="709"/>
        <w:jc w:val="both"/>
        <w:rPr>
          <w:rFonts w:ascii="Times New Roman" w:hAnsi="Times New Roman" w:cs="Times New Roman"/>
          <w:sz w:val="28"/>
          <w:szCs w:val="28"/>
        </w:rPr>
      </w:pPr>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х национальностей содержит груп</w:t>
      </w:r>
      <w:r w:rsidRPr="00F65EE1">
        <w:rPr>
          <w:rFonts w:ascii="Times New Roman" w:hAnsi="Times New Roman" w:cs="Times New Roman"/>
          <w:sz w:val="28"/>
          <w:szCs w:val="28"/>
        </w:rPr>
        <w:t xml:space="preserve">пировочные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w:t>
      </w:r>
      <w:r w:rsidR="00992AA8">
        <w:rPr>
          <w:rFonts w:ascii="Times New Roman" w:hAnsi="Times New Roman" w:cs="Times New Roman"/>
          <w:sz w:val="28"/>
          <w:szCs w:val="28"/>
        </w:rPr>
        <w:t>20</w:t>
      </w:r>
      <w:bookmarkStart w:id="0" w:name="_GoBack"/>
      <w:bookmarkEnd w:id="0"/>
      <w:r w:rsidRPr="00FE3D65">
        <w:rPr>
          <w:rFonts w:ascii="Times New Roman" w:hAnsi="Times New Roman" w:cs="Times New Roman"/>
          <w:sz w:val="28"/>
          <w:szCs w:val="28"/>
        </w:rPr>
        <w:t>% среди лиц, указавших национальную принадлежность</w:t>
      </w:r>
      <w:r w:rsidR="00FE3D65" w:rsidRPr="00FE3D65">
        <w:rPr>
          <w:rFonts w:ascii="Times New Roman" w:hAnsi="Times New Roman" w:cs="Times New Roman"/>
          <w:sz w:val="28"/>
          <w:szCs w:val="28"/>
        </w:rPr>
        <w:t xml:space="preserve">, а также группировочные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группировочные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Российской Федерации.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межпереписной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847465"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высший из достигнутых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бакалавриат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специалитет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специалист среднего звена – окончивши</w:t>
      </w:r>
      <w:r w:rsidR="00862258">
        <w:rPr>
          <w:rFonts w:ascii="Times New Roman" w:hAnsi="Times New Roman" w:cs="Times New Roman"/>
          <w:sz w:val="28"/>
          <w:szCs w:val="28"/>
        </w:rPr>
        <w:t>е</w:t>
      </w:r>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дошкольное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Предпринимательский доход, самозанятость</w:t>
      </w:r>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самозанятым,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r w:rsidRPr="00F0734E">
        <w:rPr>
          <w:b/>
          <w:sz w:val="28"/>
          <w:szCs w:val="28"/>
        </w:rPr>
        <w:t>занятым</w:t>
      </w:r>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r w:rsidRPr="00223A76">
        <w:rPr>
          <w:sz w:val="28"/>
          <w:szCs w:val="28"/>
        </w:rPr>
        <w:t>К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также относятся к числу занятых.</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 xml:space="preserve">живы все дети на дату переписи или нет, входили ли они в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неквартирного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0A" w:rsidRDefault="00832E0A" w:rsidP="0059770F">
      <w:pPr>
        <w:spacing w:after="0" w:line="240" w:lineRule="auto"/>
      </w:pPr>
      <w:r>
        <w:separator/>
      </w:r>
    </w:p>
  </w:endnote>
  <w:endnote w:type="continuationSeparator" w:id="0">
    <w:p w:rsidR="00832E0A" w:rsidRDefault="00832E0A"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0A" w:rsidRDefault="00832E0A" w:rsidP="0059770F">
      <w:pPr>
        <w:spacing w:after="0" w:line="240" w:lineRule="auto"/>
      </w:pPr>
      <w:r>
        <w:separator/>
      </w:r>
    </w:p>
  </w:footnote>
  <w:footnote w:type="continuationSeparator" w:id="0">
    <w:p w:rsidR="00832E0A" w:rsidRDefault="00832E0A"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992AA8">
          <w:rPr>
            <w:noProof/>
          </w:rPr>
          <w:t>12</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A767A"/>
    <w:rsid w:val="008E4999"/>
    <w:rsid w:val="00956162"/>
    <w:rsid w:val="00957437"/>
    <w:rsid w:val="00964788"/>
    <w:rsid w:val="00992AA8"/>
    <w:rsid w:val="009945E7"/>
    <w:rsid w:val="009B7E26"/>
    <w:rsid w:val="009C76CA"/>
    <w:rsid w:val="009D18D9"/>
    <w:rsid w:val="009E1E9D"/>
    <w:rsid w:val="009F12AA"/>
    <w:rsid w:val="00A72CA1"/>
    <w:rsid w:val="00A75B4C"/>
    <w:rsid w:val="00A87AF3"/>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Шевердова Галина Евгеньевна</cp:lastModifiedBy>
  <cp:revision>2</cp:revision>
  <cp:lastPrinted>2022-05-30T15:39:00Z</cp:lastPrinted>
  <dcterms:created xsi:type="dcterms:W3CDTF">2023-02-01T13:06:00Z</dcterms:created>
  <dcterms:modified xsi:type="dcterms:W3CDTF">2023-02-01T13:06:00Z</dcterms:modified>
</cp:coreProperties>
</file>